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7538" w14:textId="3FF56110" w:rsidR="004E6844" w:rsidRDefault="00824514" w:rsidP="005A4711">
      <w:pPr>
        <w:spacing w:after="80" w:line="240" w:lineRule="auto"/>
        <w:jc w:val="center"/>
        <w:rPr>
          <w:b/>
          <w:bCs/>
          <w:color w:val="2F5496" w:themeColor="accent1" w:themeShade="BF"/>
          <w:sz w:val="40"/>
          <w:szCs w:val="40"/>
        </w:rPr>
      </w:pPr>
      <w:bookmarkStart w:id="0" w:name="_GoBack"/>
      <w:bookmarkEnd w:id="0"/>
      <w:r>
        <w:rPr>
          <w:b/>
          <w:bCs/>
          <w:color w:val="2F5496" w:themeColor="accent1" w:themeShade="BF"/>
          <w:sz w:val="40"/>
          <w:szCs w:val="40"/>
        </w:rPr>
        <w:t>MFL</w:t>
      </w:r>
      <w:r w:rsidR="006317BC" w:rsidRPr="00244C5E">
        <w:rPr>
          <w:b/>
          <w:bCs/>
          <w:color w:val="2F5496" w:themeColor="accent1" w:themeShade="BF"/>
          <w:sz w:val="40"/>
          <w:szCs w:val="40"/>
        </w:rPr>
        <w:t xml:space="preserve"> Curriculum</w:t>
      </w:r>
      <w:r w:rsidR="007F77F8">
        <w:rPr>
          <w:b/>
          <w:bCs/>
          <w:color w:val="2F5496" w:themeColor="accent1" w:themeShade="BF"/>
          <w:sz w:val="40"/>
          <w:szCs w:val="40"/>
        </w:rPr>
        <w:t xml:space="preserve"> Rationale</w:t>
      </w:r>
    </w:p>
    <w:p w14:paraId="21627AE7" w14:textId="453A2D77" w:rsidR="003458CA" w:rsidRPr="00824514" w:rsidRDefault="00824514" w:rsidP="007F77F8">
      <w:pPr>
        <w:pStyle w:val="NoSpacing"/>
        <w:shd w:val="clear" w:color="auto" w:fill="F2F2F2" w:themeFill="background1" w:themeFillShade="F2"/>
        <w:spacing w:after="80"/>
        <w:rPr>
          <w:sz w:val="15"/>
          <w:szCs w:val="15"/>
        </w:rPr>
      </w:pPr>
      <w:r w:rsidRPr="00824514">
        <w:rPr>
          <w:sz w:val="15"/>
          <w:szCs w:val="15"/>
        </w:rPr>
        <w:t xml:space="preserve">At St Wilfrid’s Primary School, all pupils learn the language of </w:t>
      </w:r>
      <w:r w:rsidR="002A0275">
        <w:rPr>
          <w:sz w:val="15"/>
          <w:szCs w:val="15"/>
        </w:rPr>
        <w:t>French</w:t>
      </w:r>
      <w:r w:rsidRPr="00824514">
        <w:rPr>
          <w:sz w:val="15"/>
          <w:szCs w:val="15"/>
        </w:rPr>
        <w:t xml:space="preserve">. In line with the school’s philosophy around global citizenship, language learning will broaden their horizons, encourage them to step beyond cultural boundaries and develop new way of seeing the world. To support early language development, the school follows the </w:t>
      </w:r>
      <w:r w:rsidR="002A0275">
        <w:rPr>
          <w:sz w:val="15"/>
          <w:szCs w:val="15"/>
        </w:rPr>
        <w:t xml:space="preserve">Language Angels programme from Year 2 to Year 6.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584"/>
        <w:gridCol w:w="3743"/>
        <w:gridCol w:w="139"/>
        <w:gridCol w:w="1541"/>
        <w:gridCol w:w="3784"/>
        <w:gridCol w:w="145"/>
        <w:gridCol w:w="1435"/>
        <w:gridCol w:w="3787"/>
      </w:tblGrid>
      <w:tr w:rsidR="00966A49" w14:paraId="76348AA0" w14:textId="77777777" w:rsidTr="007F77F8">
        <w:tc>
          <w:tcPr>
            <w:tcW w:w="1648" w:type="pct"/>
            <w:gridSpan w:val="2"/>
            <w:shd w:val="clear" w:color="auto" w:fill="0A749A"/>
          </w:tcPr>
          <w:p w14:paraId="512151BD" w14:textId="6D96277D" w:rsidR="00966A49" w:rsidRPr="006317BC" w:rsidRDefault="00966A49" w:rsidP="006317BC">
            <w:pPr>
              <w:jc w:val="center"/>
              <w:rPr>
                <w:b/>
                <w:bCs/>
                <w:color w:val="FFFFFF" w:themeColor="background1"/>
              </w:rPr>
            </w:pPr>
            <w:r w:rsidRPr="006317BC">
              <w:rPr>
                <w:b/>
                <w:bCs/>
                <w:color w:val="FFFFFF" w:themeColor="background1"/>
              </w:rPr>
              <w:t>INTENT</w:t>
            </w:r>
          </w:p>
        </w:tc>
        <w:tc>
          <w:tcPr>
            <w:tcW w:w="43" w:type="pct"/>
            <w:vMerge w:val="restart"/>
          </w:tcPr>
          <w:p w14:paraId="030D4B41" w14:textId="77777777" w:rsidR="00966A49" w:rsidRPr="006317BC" w:rsidRDefault="00966A49" w:rsidP="006317BC">
            <w:pPr>
              <w:jc w:val="center"/>
              <w:rPr>
                <w:b/>
                <w:bCs/>
                <w:color w:val="FFFFFF" w:themeColor="background1"/>
              </w:rPr>
            </w:pPr>
          </w:p>
        </w:tc>
        <w:tc>
          <w:tcPr>
            <w:tcW w:w="1648" w:type="pct"/>
            <w:gridSpan w:val="2"/>
            <w:shd w:val="clear" w:color="auto" w:fill="DD3458"/>
          </w:tcPr>
          <w:p w14:paraId="52CE9B6F" w14:textId="57B7AB70" w:rsidR="00966A49" w:rsidRPr="006317BC" w:rsidRDefault="00966A49" w:rsidP="006317BC">
            <w:pPr>
              <w:jc w:val="center"/>
              <w:rPr>
                <w:b/>
                <w:bCs/>
                <w:color w:val="FFFFFF" w:themeColor="background1"/>
              </w:rPr>
            </w:pPr>
            <w:r w:rsidRPr="006317BC">
              <w:rPr>
                <w:b/>
                <w:bCs/>
                <w:color w:val="FFFFFF" w:themeColor="background1"/>
              </w:rPr>
              <w:t>IMPLEMENTATION</w:t>
            </w:r>
          </w:p>
        </w:tc>
        <w:tc>
          <w:tcPr>
            <w:tcW w:w="45" w:type="pct"/>
            <w:vMerge w:val="restart"/>
          </w:tcPr>
          <w:p w14:paraId="53331EEA" w14:textId="77777777" w:rsidR="00966A49" w:rsidRPr="006317BC" w:rsidRDefault="00966A49" w:rsidP="006317BC">
            <w:pPr>
              <w:jc w:val="center"/>
              <w:rPr>
                <w:b/>
                <w:bCs/>
                <w:color w:val="FFFFFF" w:themeColor="background1"/>
              </w:rPr>
            </w:pPr>
          </w:p>
        </w:tc>
        <w:tc>
          <w:tcPr>
            <w:tcW w:w="1616" w:type="pct"/>
            <w:gridSpan w:val="2"/>
            <w:shd w:val="clear" w:color="auto" w:fill="85CA3A"/>
          </w:tcPr>
          <w:p w14:paraId="0A5B9374" w14:textId="665E88D0" w:rsidR="00966A49" w:rsidRPr="006317BC" w:rsidRDefault="00966A49" w:rsidP="006317BC">
            <w:pPr>
              <w:jc w:val="center"/>
              <w:rPr>
                <w:b/>
                <w:bCs/>
                <w:color w:val="FFFFFF" w:themeColor="background1"/>
              </w:rPr>
            </w:pPr>
            <w:r w:rsidRPr="006317BC">
              <w:rPr>
                <w:b/>
                <w:bCs/>
                <w:color w:val="FFFFFF" w:themeColor="background1"/>
              </w:rPr>
              <w:t>IMPACT</w:t>
            </w:r>
          </w:p>
        </w:tc>
      </w:tr>
      <w:tr w:rsidR="00E153A0" w14:paraId="36FDB854" w14:textId="77777777" w:rsidTr="007F77F8">
        <w:tc>
          <w:tcPr>
            <w:tcW w:w="490" w:type="pct"/>
            <w:shd w:val="clear" w:color="auto" w:fill="E3F6FD"/>
          </w:tcPr>
          <w:p w14:paraId="70B7294B" w14:textId="0E2F73FE" w:rsidR="00E153A0" w:rsidRDefault="00E153A0" w:rsidP="00E153A0">
            <w:pPr>
              <w:jc w:val="center"/>
            </w:pPr>
            <w:r>
              <w:rPr>
                <w:noProof/>
                <w:lang w:eastAsia="en-GB"/>
              </w:rPr>
              <w:drawing>
                <wp:inline distT="0" distB="0" distL="0" distR="0" wp14:anchorId="01FC8841" wp14:editId="2390FDAE">
                  <wp:extent cx="876583" cy="758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365" t="3640" b="-5452"/>
                          <a:stretch/>
                        </pic:blipFill>
                        <pic:spPr bwMode="auto">
                          <a:xfrm>
                            <a:off x="0" y="0"/>
                            <a:ext cx="878715" cy="760286"/>
                          </a:xfrm>
                          <a:prstGeom prst="rect">
                            <a:avLst/>
                          </a:prstGeom>
                          <a:noFill/>
                          <a:ln>
                            <a:noFill/>
                          </a:ln>
                          <a:extLst>
                            <a:ext uri="{53640926-AAD7-44D8-BBD7-CCE9431645EC}">
                              <a14:shadowObscured xmlns:a14="http://schemas.microsoft.com/office/drawing/2010/main"/>
                            </a:ext>
                          </a:extLst>
                        </pic:spPr>
                      </pic:pic>
                    </a:graphicData>
                  </a:graphic>
                </wp:inline>
              </w:drawing>
            </w:r>
          </w:p>
          <w:p w14:paraId="58B712E3" w14:textId="1BCB1725" w:rsidR="00E153A0" w:rsidRPr="006317BC" w:rsidRDefault="00E153A0" w:rsidP="00E153A0">
            <w:pPr>
              <w:jc w:val="center"/>
              <w:rPr>
                <w:b/>
                <w:bCs/>
                <w:color w:val="0A749A"/>
                <w:sz w:val="16"/>
                <w:szCs w:val="16"/>
              </w:rPr>
            </w:pPr>
            <w:r w:rsidRPr="005F742F">
              <w:rPr>
                <w:b/>
                <w:bCs/>
                <w:color w:val="0A749A"/>
                <w:sz w:val="16"/>
                <w:szCs w:val="16"/>
              </w:rPr>
              <w:t>Alignment to</w:t>
            </w:r>
            <w:r>
              <w:rPr>
                <w:b/>
                <w:bCs/>
                <w:color w:val="0A749A"/>
                <w:sz w:val="16"/>
                <w:szCs w:val="16"/>
              </w:rPr>
              <w:t xml:space="preserve"> </w:t>
            </w:r>
            <w:r w:rsidRPr="005F742F">
              <w:rPr>
                <w:b/>
                <w:bCs/>
                <w:color w:val="0A749A"/>
                <w:sz w:val="16"/>
                <w:szCs w:val="16"/>
              </w:rPr>
              <w:t>National Curriculum</w:t>
            </w:r>
          </w:p>
        </w:tc>
        <w:tc>
          <w:tcPr>
            <w:tcW w:w="1158" w:type="pct"/>
          </w:tcPr>
          <w:p w14:paraId="682F8FDE" w14:textId="7398326B" w:rsidR="00E153A0" w:rsidRPr="001312EA" w:rsidRDefault="00E153A0" w:rsidP="00E153A0">
            <w:pPr>
              <w:rPr>
                <w:sz w:val="15"/>
                <w:szCs w:val="15"/>
              </w:rPr>
            </w:pPr>
            <w:r>
              <w:rPr>
                <w:sz w:val="15"/>
                <w:szCs w:val="15"/>
              </w:rPr>
              <w:t>The MFL</w:t>
            </w:r>
            <w:r w:rsidRPr="001312EA">
              <w:rPr>
                <w:sz w:val="15"/>
                <w:szCs w:val="15"/>
              </w:rPr>
              <w:t xml:space="preserve"> curriculum at St Wilfrid’s uses the National Curriculum as a basis</w:t>
            </w:r>
            <w:r>
              <w:rPr>
                <w:sz w:val="15"/>
                <w:szCs w:val="15"/>
              </w:rPr>
              <w:t xml:space="preserve"> for its content and framework. This is delivered through the Language Angels programme to support teachers.</w:t>
            </w:r>
          </w:p>
          <w:p w14:paraId="025C6490" w14:textId="18113BCB" w:rsidR="00E153A0" w:rsidRPr="00824514" w:rsidRDefault="00E153A0" w:rsidP="00E153A0">
            <w:pPr>
              <w:rPr>
                <w:sz w:val="15"/>
                <w:szCs w:val="15"/>
              </w:rPr>
            </w:pPr>
          </w:p>
        </w:tc>
        <w:tc>
          <w:tcPr>
            <w:tcW w:w="43" w:type="pct"/>
            <w:vMerge/>
          </w:tcPr>
          <w:p w14:paraId="6F95ED81" w14:textId="77777777" w:rsidR="00E153A0" w:rsidRDefault="00E153A0" w:rsidP="00E153A0"/>
        </w:tc>
        <w:tc>
          <w:tcPr>
            <w:tcW w:w="477" w:type="pct"/>
            <w:shd w:val="clear" w:color="auto" w:fill="F9DBE1"/>
          </w:tcPr>
          <w:p w14:paraId="67E82C53" w14:textId="77777777" w:rsidR="00E153A0" w:rsidRDefault="00E153A0" w:rsidP="00E153A0">
            <w:pPr>
              <w:jc w:val="center"/>
            </w:pPr>
            <w:r>
              <w:rPr>
                <w:noProof/>
                <w:lang w:eastAsia="en-GB"/>
              </w:rPr>
              <w:drawing>
                <wp:inline distT="0" distB="0" distL="0" distR="0" wp14:anchorId="33106553" wp14:editId="232E698D">
                  <wp:extent cx="743585" cy="74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p w14:paraId="2D8A907A" w14:textId="678057F2" w:rsidR="00E153A0" w:rsidRPr="006317BC" w:rsidRDefault="00E153A0" w:rsidP="00E153A0">
            <w:pPr>
              <w:jc w:val="center"/>
              <w:rPr>
                <w:b/>
                <w:bCs/>
                <w:color w:val="D43C6B"/>
                <w:sz w:val="16"/>
                <w:szCs w:val="16"/>
              </w:rPr>
            </w:pPr>
            <w:r w:rsidRPr="00F94E93">
              <w:rPr>
                <w:b/>
                <w:bCs/>
                <w:color w:val="D43C6B"/>
                <w:sz w:val="16"/>
                <w:szCs w:val="16"/>
              </w:rPr>
              <w:t>Pedagogical Approaches</w:t>
            </w:r>
          </w:p>
        </w:tc>
        <w:tc>
          <w:tcPr>
            <w:tcW w:w="1171" w:type="pct"/>
          </w:tcPr>
          <w:p w14:paraId="37D55996" w14:textId="5F388DB2" w:rsidR="00E153A0" w:rsidRPr="00824514" w:rsidRDefault="0046381A" w:rsidP="00543E88">
            <w:pPr>
              <w:rPr>
                <w:sz w:val="15"/>
                <w:szCs w:val="15"/>
              </w:rPr>
            </w:pPr>
            <w:r>
              <w:rPr>
                <w:sz w:val="15"/>
                <w:szCs w:val="15"/>
              </w:rPr>
              <w:t xml:space="preserve">French is taught In a whole-class setting by the class teacher. </w:t>
            </w:r>
            <w:r w:rsidR="00543E88">
              <w:rPr>
                <w:sz w:val="15"/>
                <w:szCs w:val="15"/>
              </w:rPr>
              <w:t>The language is presented in a variety of ways e.g. .presentations, games, songs. Each lesson will focus on a combination of the five key language learning skills (speaking, listening, reading, writing and grammar).</w:t>
            </w:r>
          </w:p>
        </w:tc>
        <w:tc>
          <w:tcPr>
            <w:tcW w:w="45" w:type="pct"/>
            <w:vMerge/>
          </w:tcPr>
          <w:p w14:paraId="0DD00185" w14:textId="77777777" w:rsidR="00E153A0" w:rsidRDefault="00E153A0" w:rsidP="00E153A0"/>
        </w:tc>
        <w:tc>
          <w:tcPr>
            <w:tcW w:w="444" w:type="pct"/>
            <w:shd w:val="clear" w:color="auto" w:fill="E3F3D1"/>
          </w:tcPr>
          <w:p w14:paraId="4F86C3AC" w14:textId="77777777" w:rsidR="00E153A0" w:rsidRDefault="00E153A0" w:rsidP="00E153A0">
            <w:pPr>
              <w:jc w:val="center"/>
            </w:pPr>
            <w:r>
              <w:rPr>
                <w:noProof/>
                <w:lang w:eastAsia="en-GB"/>
              </w:rPr>
              <w:drawing>
                <wp:inline distT="0" distB="0" distL="0" distR="0" wp14:anchorId="6D20A430" wp14:editId="1B10BFEC">
                  <wp:extent cx="792480" cy="786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86765"/>
                          </a:xfrm>
                          <a:prstGeom prst="rect">
                            <a:avLst/>
                          </a:prstGeom>
                          <a:noFill/>
                        </pic:spPr>
                      </pic:pic>
                    </a:graphicData>
                  </a:graphic>
                </wp:inline>
              </w:drawing>
            </w:r>
          </w:p>
          <w:p w14:paraId="0EDAA1FE" w14:textId="22539E0C" w:rsidR="00E153A0" w:rsidRPr="006317BC" w:rsidRDefault="00E153A0" w:rsidP="00E153A0">
            <w:pPr>
              <w:jc w:val="center"/>
              <w:rPr>
                <w:b/>
                <w:bCs/>
                <w:color w:val="85CA3A"/>
                <w:sz w:val="16"/>
                <w:szCs w:val="16"/>
              </w:rPr>
            </w:pPr>
            <w:r w:rsidRPr="00AB12DE">
              <w:rPr>
                <w:b/>
                <w:bCs/>
                <w:color w:val="85CA3A"/>
                <w:sz w:val="16"/>
                <w:szCs w:val="16"/>
              </w:rPr>
              <w:t>Approach to Assessment</w:t>
            </w:r>
          </w:p>
        </w:tc>
        <w:tc>
          <w:tcPr>
            <w:tcW w:w="1172" w:type="pct"/>
          </w:tcPr>
          <w:p w14:paraId="74854039" w14:textId="63C7BA1F" w:rsidR="00E153A0" w:rsidRPr="002A0275" w:rsidRDefault="00E153A0" w:rsidP="00ED1236">
            <w:pPr>
              <w:rPr>
                <w:sz w:val="15"/>
                <w:szCs w:val="15"/>
              </w:rPr>
            </w:pPr>
            <w:r>
              <w:rPr>
                <w:rFonts w:ascii="Articulate" w:hAnsi="Articulate" w:cs="Arial"/>
                <w:sz w:val="15"/>
                <w:szCs w:val="15"/>
              </w:rPr>
              <w:t>Along with continual assessment there is th</w:t>
            </w:r>
            <w:r w:rsidRPr="002A0275">
              <w:rPr>
                <w:rFonts w:ascii="Articulate" w:hAnsi="Articulate" w:cs="Arial"/>
                <w:sz w:val="15"/>
                <w:szCs w:val="15"/>
              </w:rPr>
              <w:t xml:space="preserve">e opportunity to assess pupil learning and progression in the key language skills (speaking, listening, reading and writing) and against the 12 </w:t>
            </w:r>
            <w:proofErr w:type="spellStart"/>
            <w:r w:rsidRPr="002A0275">
              <w:rPr>
                <w:rFonts w:ascii="Articulate" w:hAnsi="Articulate" w:cs="Arial"/>
                <w:sz w:val="15"/>
                <w:szCs w:val="15"/>
              </w:rPr>
              <w:t>DfE</w:t>
            </w:r>
            <w:proofErr w:type="spellEnd"/>
            <w:r w:rsidRPr="002A0275">
              <w:rPr>
                <w:rFonts w:ascii="Articulate" w:hAnsi="Articulate" w:cs="Arial"/>
                <w:sz w:val="15"/>
                <w:szCs w:val="15"/>
              </w:rPr>
              <w:t xml:space="preserve"> Languages Programme of Study for Key Stage 2 attainment targets is provided at the end of each 6-week teaching unit. </w:t>
            </w:r>
          </w:p>
        </w:tc>
      </w:tr>
      <w:tr w:rsidR="00E153A0" w14:paraId="3B1144F3" w14:textId="77777777" w:rsidTr="007F77F8">
        <w:tc>
          <w:tcPr>
            <w:tcW w:w="490" w:type="pct"/>
            <w:shd w:val="clear" w:color="auto" w:fill="E3F6FD"/>
          </w:tcPr>
          <w:p w14:paraId="0B5A31EC" w14:textId="77777777" w:rsidR="00E153A0" w:rsidRDefault="00E153A0" w:rsidP="00E153A0">
            <w:pPr>
              <w:jc w:val="center"/>
            </w:pPr>
            <w:r>
              <w:rPr>
                <w:noProof/>
                <w:lang w:eastAsia="en-GB"/>
              </w:rPr>
              <w:drawing>
                <wp:inline distT="0" distB="0" distL="0" distR="0" wp14:anchorId="74B50CD3" wp14:editId="3913EC0A">
                  <wp:extent cx="82296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3E953E77" w14:textId="306A089F" w:rsidR="00E153A0" w:rsidRPr="006317BC" w:rsidRDefault="00E153A0" w:rsidP="00E153A0">
            <w:pPr>
              <w:jc w:val="center"/>
              <w:rPr>
                <w:b/>
                <w:bCs/>
                <w:color w:val="0A749A"/>
                <w:sz w:val="16"/>
                <w:szCs w:val="16"/>
              </w:rPr>
            </w:pPr>
            <w:r w:rsidRPr="005F742F">
              <w:rPr>
                <w:b/>
                <w:bCs/>
                <w:color w:val="0A749A"/>
                <w:sz w:val="16"/>
                <w:szCs w:val="16"/>
              </w:rPr>
              <w:t>End Points</w:t>
            </w:r>
          </w:p>
        </w:tc>
        <w:tc>
          <w:tcPr>
            <w:tcW w:w="1158" w:type="pct"/>
          </w:tcPr>
          <w:p w14:paraId="7E8A2DCC" w14:textId="3AF701F6" w:rsidR="00E153A0" w:rsidRPr="001A0F28" w:rsidRDefault="0046381A" w:rsidP="00E153A0">
            <w:pPr>
              <w:rPr>
                <w:rFonts w:ascii="Arial" w:hAnsi="Arial" w:cs="Arial"/>
                <w:sz w:val="15"/>
                <w:szCs w:val="15"/>
              </w:rPr>
            </w:pPr>
            <w:r>
              <w:rPr>
                <w:rFonts w:ascii="Arial" w:hAnsi="Arial" w:cs="Arial"/>
                <w:sz w:val="15"/>
                <w:szCs w:val="15"/>
              </w:rPr>
              <w:t>Our goal is for the children to be passionate, curious and confident about their own foreign language learning abilities when they finish the primary phase of their education.</w:t>
            </w:r>
          </w:p>
        </w:tc>
        <w:tc>
          <w:tcPr>
            <w:tcW w:w="43" w:type="pct"/>
            <w:vMerge/>
          </w:tcPr>
          <w:p w14:paraId="60AC6479" w14:textId="77777777" w:rsidR="00E153A0" w:rsidRDefault="00E153A0" w:rsidP="00E153A0"/>
        </w:tc>
        <w:tc>
          <w:tcPr>
            <w:tcW w:w="477" w:type="pct"/>
            <w:shd w:val="clear" w:color="auto" w:fill="F9DBE1"/>
          </w:tcPr>
          <w:p w14:paraId="67BBBB43" w14:textId="77777777" w:rsidR="00E153A0" w:rsidRDefault="00E153A0" w:rsidP="00E153A0">
            <w:pPr>
              <w:jc w:val="center"/>
            </w:pPr>
            <w:r>
              <w:rPr>
                <w:noProof/>
                <w:lang w:eastAsia="en-GB"/>
              </w:rPr>
              <w:drawing>
                <wp:inline distT="0" distB="0" distL="0" distR="0" wp14:anchorId="4742A5C4" wp14:editId="07E7AD0E">
                  <wp:extent cx="792480"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160BF1C2" w14:textId="69DC4FEE" w:rsidR="00E153A0" w:rsidRPr="006317BC" w:rsidRDefault="00E153A0" w:rsidP="00E153A0">
            <w:pPr>
              <w:jc w:val="center"/>
              <w:rPr>
                <w:b/>
                <w:bCs/>
                <w:color w:val="D43C6B"/>
                <w:sz w:val="16"/>
                <w:szCs w:val="16"/>
              </w:rPr>
            </w:pPr>
            <w:r w:rsidRPr="00F94E93">
              <w:rPr>
                <w:b/>
                <w:bCs/>
                <w:color w:val="D43C6B"/>
                <w:sz w:val="16"/>
                <w:szCs w:val="16"/>
              </w:rPr>
              <w:t>Teachers’ Expert Knowledge</w:t>
            </w:r>
          </w:p>
        </w:tc>
        <w:tc>
          <w:tcPr>
            <w:tcW w:w="1171" w:type="pct"/>
          </w:tcPr>
          <w:p w14:paraId="634662AF" w14:textId="21CD68EE" w:rsidR="00E153A0" w:rsidRPr="00824514" w:rsidRDefault="0046381A" w:rsidP="00E153A0">
            <w:pPr>
              <w:rPr>
                <w:sz w:val="15"/>
                <w:szCs w:val="15"/>
              </w:rPr>
            </w:pPr>
            <w:r>
              <w:rPr>
                <w:sz w:val="15"/>
                <w:szCs w:val="15"/>
              </w:rPr>
              <w:t xml:space="preserve">Lessons are planned using the Language Angels scheme of work but can be supplemented with teachers’ own ideas. </w:t>
            </w:r>
            <w:r w:rsidR="00543E88">
              <w:rPr>
                <w:sz w:val="15"/>
                <w:szCs w:val="15"/>
              </w:rPr>
              <w:t>Language Angels provides</w:t>
            </w:r>
            <w:r>
              <w:rPr>
                <w:sz w:val="15"/>
                <w:szCs w:val="15"/>
              </w:rPr>
              <w:t xml:space="preserve"> native speakers’ pronunciation </w:t>
            </w:r>
            <w:r w:rsidR="00543E88">
              <w:rPr>
                <w:sz w:val="15"/>
                <w:szCs w:val="15"/>
              </w:rPr>
              <w:t xml:space="preserve">so the children are hearing expert modelling which they can replicate. </w:t>
            </w:r>
          </w:p>
        </w:tc>
        <w:tc>
          <w:tcPr>
            <w:tcW w:w="45" w:type="pct"/>
            <w:vMerge/>
          </w:tcPr>
          <w:p w14:paraId="778071D4" w14:textId="77777777" w:rsidR="00E153A0" w:rsidRDefault="00E153A0" w:rsidP="00E153A0"/>
        </w:tc>
        <w:tc>
          <w:tcPr>
            <w:tcW w:w="444" w:type="pct"/>
            <w:shd w:val="clear" w:color="auto" w:fill="E3F3D1"/>
          </w:tcPr>
          <w:p w14:paraId="1DC880BF" w14:textId="77777777" w:rsidR="00E153A0" w:rsidRDefault="00E153A0" w:rsidP="00E153A0">
            <w:pPr>
              <w:jc w:val="center"/>
            </w:pPr>
            <w:r>
              <w:rPr>
                <w:noProof/>
                <w:lang w:eastAsia="en-GB"/>
              </w:rPr>
              <w:drawing>
                <wp:inline distT="0" distB="0" distL="0" distR="0" wp14:anchorId="5DBD705C" wp14:editId="09D9E105">
                  <wp:extent cx="792480" cy="792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1E44D128" w14:textId="76497511" w:rsidR="00E153A0" w:rsidRPr="006317BC" w:rsidRDefault="00E153A0" w:rsidP="00E153A0">
            <w:pPr>
              <w:jc w:val="center"/>
              <w:rPr>
                <w:b/>
                <w:bCs/>
                <w:color w:val="85CA3A"/>
                <w:sz w:val="16"/>
                <w:szCs w:val="16"/>
              </w:rPr>
            </w:pPr>
            <w:r w:rsidRPr="00AB12DE">
              <w:rPr>
                <w:b/>
                <w:bCs/>
                <w:color w:val="85CA3A"/>
                <w:sz w:val="16"/>
                <w:szCs w:val="16"/>
              </w:rPr>
              <w:t>Performance Data</w:t>
            </w:r>
          </w:p>
        </w:tc>
        <w:tc>
          <w:tcPr>
            <w:tcW w:w="1172" w:type="pct"/>
          </w:tcPr>
          <w:p w14:paraId="5440D231" w14:textId="77777777" w:rsidR="00E153A0" w:rsidRDefault="00E153A0" w:rsidP="00E153A0">
            <w:pPr>
              <w:rPr>
                <w:sz w:val="15"/>
                <w:szCs w:val="15"/>
              </w:rPr>
            </w:pPr>
          </w:p>
          <w:p w14:paraId="5118AF7E" w14:textId="5EA360C0" w:rsidR="00E153A0" w:rsidRPr="00824514" w:rsidRDefault="00E153A0" w:rsidP="00E153A0">
            <w:pPr>
              <w:rPr>
                <w:sz w:val="15"/>
                <w:szCs w:val="15"/>
              </w:rPr>
            </w:pPr>
            <w:r>
              <w:rPr>
                <w:rFonts w:ascii="Articulate" w:hAnsi="Articulate" w:cs="Arial"/>
                <w:sz w:val="15"/>
                <w:szCs w:val="15"/>
              </w:rPr>
              <w:t>The</w:t>
            </w:r>
            <w:r w:rsidRPr="002A0275">
              <w:rPr>
                <w:rFonts w:ascii="Articulate" w:hAnsi="Articulate" w:cs="Arial"/>
                <w:sz w:val="15"/>
                <w:szCs w:val="15"/>
              </w:rPr>
              <w:t xml:space="preserve"> information will be recorded and will be monitored by the Foreign Language Subject Leader who can use this data to ensure teaching is targeted and appropriate for each pupil, class and year group as well as to feedback on progress to SLT and stakeholders</w:t>
            </w:r>
          </w:p>
        </w:tc>
      </w:tr>
      <w:tr w:rsidR="00E153A0" w14:paraId="2BEFBC6B" w14:textId="77777777" w:rsidTr="007F77F8">
        <w:tc>
          <w:tcPr>
            <w:tcW w:w="490" w:type="pct"/>
            <w:shd w:val="clear" w:color="auto" w:fill="E3F6FD"/>
          </w:tcPr>
          <w:p w14:paraId="64E4CAAC" w14:textId="77777777" w:rsidR="00E153A0" w:rsidRDefault="00E153A0" w:rsidP="00E153A0">
            <w:pPr>
              <w:jc w:val="center"/>
            </w:pPr>
            <w:r>
              <w:rPr>
                <w:noProof/>
                <w:lang w:eastAsia="en-GB"/>
              </w:rPr>
              <w:drawing>
                <wp:inline distT="0" distB="0" distL="0" distR="0" wp14:anchorId="4D967398" wp14:editId="0CADCA2A">
                  <wp:extent cx="78676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pic:spPr>
                      </pic:pic>
                    </a:graphicData>
                  </a:graphic>
                </wp:inline>
              </w:drawing>
            </w:r>
          </w:p>
          <w:p w14:paraId="208EDF64" w14:textId="7440E9CD" w:rsidR="00E153A0" w:rsidRPr="006317BC" w:rsidRDefault="00E153A0" w:rsidP="00E153A0">
            <w:pPr>
              <w:jc w:val="center"/>
              <w:rPr>
                <w:b/>
                <w:bCs/>
                <w:color w:val="0A749A"/>
                <w:sz w:val="16"/>
                <w:szCs w:val="16"/>
              </w:rPr>
            </w:pPr>
            <w:r w:rsidRPr="005F742F">
              <w:rPr>
                <w:b/>
                <w:bCs/>
                <w:color w:val="0A749A"/>
                <w:sz w:val="16"/>
                <w:szCs w:val="16"/>
              </w:rPr>
              <w:t>Sequencing</w:t>
            </w:r>
          </w:p>
        </w:tc>
        <w:tc>
          <w:tcPr>
            <w:tcW w:w="1158" w:type="pct"/>
          </w:tcPr>
          <w:p w14:paraId="241CD340" w14:textId="3A3B872A" w:rsidR="00E153A0" w:rsidRPr="00824514" w:rsidRDefault="00E153A0" w:rsidP="00E153A0">
            <w:pPr>
              <w:rPr>
                <w:sz w:val="15"/>
                <w:szCs w:val="15"/>
              </w:rPr>
            </w:pPr>
            <w:r w:rsidRPr="00E153A0">
              <w:rPr>
                <w:rFonts w:ascii="Articulate" w:hAnsi="Articulate" w:cs="Arial"/>
                <w:sz w:val="15"/>
                <w:szCs w:val="15"/>
              </w:rPr>
              <w:t xml:space="preserve">The four key language learning skills; </w:t>
            </w:r>
            <w:r w:rsidRPr="00E153A0">
              <w:rPr>
                <w:rFonts w:ascii="Articulate" w:hAnsi="Articulate" w:cs="Arial"/>
                <w:b/>
                <w:bCs/>
                <w:sz w:val="15"/>
                <w:szCs w:val="15"/>
              </w:rPr>
              <w:t>listening</w:t>
            </w:r>
            <w:r w:rsidRPr="00E153A0">
              <w:rPr>
                <w:rFonts w:ascii="Articulate" w:hAnsi="Articulate" w:cs="Arial"/>
                <w:sz w:val="15"/>
                <w:szCs w:val="15"/>
              </w:rPr>
              <w:t xml:space="preserve">, </w:t>
            </w:r>
            <w:r w:rsidRPr="00E153A0">
              <w:rPr>
                <w:rFonts w:ascii="Articulate" w:hAnsi="Articulate" w:cs="Arial"/>
                <w:b/>
                <w:bCs/>
                <w:sz w:val="15"/>
                <w:szCs w:val="15"/>
              </w:rPr>
              <w:t>speaking</w:t>
            </w:r>
            <w:r w:rsidRPr="00E153A0">
              <w:rPr>
                <w:rFonts w:ascii="Articulate" w:hAnsi="Articulate" w:cs="Arial"/>
                <w:sz w:val="15"/>
                <w:szCs w:val="15"/>
              </w:rPr>
              <w:t xml:space="preserve">, </w:t>
            </w:r>
            <w:r w:rsidRPr="00E153A0">
              <w:rPr>
                <w:rFonts w:ascii="Articulate" w:hAnsi="Articulate" w:cs="Arial"/>
                <w:b/>
                <w:bCs/>
                <w:sz w:val="15"/>
                <w:szCs w:val="15"/>
              </w:rPr>
              <w:t>reading</w:t>
            </w:r>
            <w:r w:rsidRPr="00E153A0">
              <w:rPr>
                <w:rFonts w:ascii="Articulate" w:hAnsi="Articulate" w:cs="Arial"/>
                <w:sz w:val="15"/>
                <w:szCs w:val="15"/>
              </w:rPr>
              <w:t xml:space="preserve"> and </w:t>
            </w:r>
            <w:r w:rsidRPr="00E153A0">
              <w:rPr>
                <w:rFonts w:ascii="Articulate" w:hAnsi="Articulate" w:cs="Arial"/>
                <w:b/>
                <w:bCs/>
                <w:sz w:val="15"/>
                <w:szCs w:val="15"/>
              </w:rPr>
              <w:t>writing</w:t>
            </w:r>
            <w:r w:rsidRPr="00E153A0">
              <w:rPr>
                <w:rFonts w:ascii="Articulate" w:hAnsi="Articulate" w:cs="Arial"/>
                <w:sz w:val="15"/>
                <w:szCs w:val="15"/>
              </w:rPr>
              <w:t xml:space="preserve"> will be taught and all necessary </w:t>
            </w:r>
            <w:r w:rsidRPr="00E153A0">
              <w:rPr>
                <w:rFonts w:ascii="Articulate" w:hAnsi="Articulate" w:cs="Arial"/>
                <w:b/>
                <w:bCs/>
                <w:sz w:val="15"/>
                <w:szCs w:val="15"/>
              </w:rPr>
              <w:t>grammar</w:t>
            </w:r>
            <w:r w:rsidRPr="00E153A0">
              <w:rPr>
                <w:rFonts w:ascii="Articulate" w:hAnsi="Articulate" w:cs="Arial"/>
                <w:sz w:val="15"/>
                <w:szCs w:val="15"/>
              </w:rPr>
              <w:t xml:space="preserve"> will be covered in an age-appropriate way across the primary phase. This will enable pupils to use and apply their learning in a variety of contexts, laying down solid foundations for future language learning</w:t>
            </w:r>
            <w:r w:rsidRPr="00824514">
              <w:rPr>
                <w:sz w:val="15"/>
                <w:szCs w:val="15"/>
              </w:rPr>
              <w:t xml:space="preserve">. The pupils will be well prepared for language study at key stages 3 &amp;4. </w:t>
            </w:r>
          </w:p>
        </w:tc>
        <w:tc>
          <w:tcPr>
            <w:tcW w:w="43" w:type="pct"/>
            <w:vMerge/>
          </w:tcPr>
          <w:p w14:paraId="5D26F9DE" w14:textId="77777777" w:rsidR="00E153A0" w:rsidRDefault="00E153A0" w:rsidP="00E153A0"/>
        </w:tc>
        <w:tc>
          <w:tcPr>
            <w:tcW w:w="477" w:type="pct"/>
            <w:shd w:val="clear" w:color="auto" w:fill="F9DBE1"/>
          </w:tcPr>
          <w:p w14:paraId="32CD9FF2" w14:textId="77777777" w:rsidR="00E153A0" w:rsidRDefault="00E153A0" w:rsidP="00E153A0">
            <w:pPr>
              <w:jc w:val="center"/>
            </w:pPr>
            <w:r>
              <w:rPr>
                <w:noProof/>
                <w:lang w:eastAsia="en-GB"/>
              </w:rPr>
              <w:drawing>
                <wp:inline distT="0" distB="0" distL="0" distR="0" wp14:anchorId="5B8FEDC9" wp14:editId="737FB749">
                  <wp:extent cx="786765"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pic:spPr>
                      </pic:pic>
                    </a:graphicData>
                  </a:graphic>
                </wp:inline>
              </w:drawing>
            </w:r>
          </w:p>
          <w:p w14:paraId="00E10284" w14:textId="196AE698" w:rsidR="00E153A0" w:rsidRPr="006317BC" w:rsidRDefault="00E153A0" w:rsidP="00E153A0">
            <w:pPr>
              <w:jc w:val="center"/>
              <w:rPr>
                <w:b/>
                <w:bCs/>
                <w:color w:val="D43C6B"/>
                <w:sz w:val="15"/>
                <w:szCs w:val="15"/>
              </w:rPr>
            </w:pPr>
            <w:r w:rsidRPr="00DF45BF">
              <w:rPr>
                <w:b/>
                <w:bCs/>
                <w:color w:val="D43C6B"/>
                <w:sz w:val="15"/>
                <w:szCs w:val="15"/>
              </w:rPr>
              <w:t>Promoting Discussion and Understanding</w:t>
            </w:r>
          </w:p>
        </w:tc>
        <w:tc>
          <w:tcPr>
            <w:tcW w:w="1171" w:type="pct"/>
          </w:tcPr>
          <w:p w14:paraId="532A2146" w14:textId="573F46EC" w:rsidR="00E153A0" w:rsidRPr="00824514" w:rsidRDefault="00E153A0" w:rsidP="00543E88">
            <w:pPr>
              <w:rPr>
                <w:sz w:val="15"/>
                <w:szCs w:val="15"/>
              </w:rPr>
            </w:pPr>
            <w:r w:rsidRPr="00824514">
              <w:rPr>
                <w:sz w:val="15"/>
                <w:szCs w:val="15"/>
              </w:rPr>
              <w:t>Learning the skills of one language means that it is easier to learn another. Discussion in the target language is encouraged. In Years 5 and 6, there is</w:t>
            </w:r>
            <w:r w:rsidR="00543E88">
              <w:rPr>
                <w:sz w:val="15"/>
                <w:szCs w:val="15"/>
              </w:rPr>
              <w:t xml:space="preserve"> even more</w:t>
            </w:r>
            <w:r w:rsidRPr="00824514">
              <w:rPr>
                <w:sz w:val="15"/>
                <w:szCs w:val="15"/>
              </w:rPr>
              <w:t xml:space="preserve"> opportunity to discuss sentence structure and grammar.</w:t>
            </w:r>
            <w:r w:rsidR="0046381A">
              <w:rPr>
                <w:sz w:val="15"/>
                <w:szCs w:val="15"/>
              </w:rPr>
              <w:t xml:space="preserve"> </w:t>
            </w:r>
            <w:r w:rsidR="0046381A" w:rsidRPr="00824514">
              <w:rPr>
                <w:sz w:val="15"/>
                <w:szCs w:val="15"/>
              </w:rPr>
              <w:t>There can be a reluctance to join in for some pupils so confidence is promoted. Where the teacher notices that a pupil is either not keeping up or appears to lack confidence, they will provide appropriate intervention.</w:t>
            </w:r>
          </w:p>
        </w:tc>
        <w:tc>
          <w:tcPr>
            <w:tcW w:w="45" w:type="pct"/>
            <w:vMerge/>
          </w:tcPr>
          <w:p w14:paraId="125028F6" w14:textId="77777777" w:rsidR="00E153A0" w:rsidRDefault="00E153A0" w:rsidP="00E153A0"/>
        </w:tc>
        <w:tc>
          <w:tcPr>
            <w:tcW w:w="444" w:type="pct"/>
            <w:shd w:val="clear" w:color="auto" w:fill="E3F3D1"/>
          </w:tcPr>
          <w:p w14:paraId="2474958A" w14:textId="77777777" w:rsidR="00E153A0" w:rsidRDefault="00E153A0" w:rsidP="00E153A0">
            <w:pPr>
              <w:jc w:val="center"/>
            </w:pPr>
            <w:r>
              <w:rPr>
                <w:noProof/>
                <w:lang w:eastAsia="en-GB"/>
              </w:rPr>
              <w:drawing>
                <wp:inline distT="0" distB="0" distL="0" distR="0" wp14:anchorId="299F7DF0" wp14:editId="375118A6">
                  <wp:extent cx="792480" cy="78676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86765"/>
                          </a:xfrm>
                          <a:prstGeom prst="rect">
                            <a:avLst/>
                          </a:prstGeom>
                          <a:noFill/>
                        </pic:spPr>
                      </pic:pic>
                    </a:graphicData>
                  </a:graphic>
                </wp:inline>
              </w:drawing>
            </w:r>
          </w:p>
          <w:p w14:paraId="124B516D" w14:textId="49DACDD3" w:rsidR="00E153A0" w:rsidRPr="006317BC" w:rsidRDefault="00E153A0" w:rsidP="00E153A0">
            <w:pPr>
              <w:jc w:val="center"/>
              <w:rPr>
                <w:b/>
                <w:bCs/>
                <w:color w:val="85CA3A"/>
                <w:sz w:val="16"/>
                <w:szCs w:val="16"/>
              </w:rPr>
            </w:pPr>
            <w:r w:rsidRPr="00AB12DE">
              <w:rPr>
                <w:b/>
                <w:bCs/>
                <w:color w:val="85CA3A"/>
                <w:sz w:val="16"/>
                <w:szCs w:val="16"/>
              </w:rPr>
              <w:t>Pupils’ Work</w:t>
            </w:r>
          </w:p>
        </w:tc>
        <w:tc>
          <w:tcPr>
            <w:tcW w:w="1172" w:type="pct"/>
          </w:tcPr>
          <w:p w14:paraId="5BBD3897" w14:textId="77777777" w:rsidR="00E153A0" w:rsidRPr="00E153A0" w:rsidRDefault="00E153A0" w:rsidP="00E153A0">
            <w:pPr>
              <w:shd w:val="clear" w:color="auto" w:fill="FFFFFF"/>
              <w:textAlignment w:val="baseline"/>
              <w:rPr>
                <w:rFonts w:ascii="Articulate" w:hAnsi="Articulate" w:cs="Arial"/>
                <w:sz w:val="15"/>
                <w:szCs w:val="15"/>
              </w:rPr>
            </w:pPr>
            <w:r w:rsidRPr="00E153A0">
              <w:rPr>
                <w:rFonts w:ascii="Articulate" w:hAnsi="Articulate" w:cs="Arial"/>
                <w:sz w:val="15"/>
                <w:szCs w:val="15"/>
              </w:rPr>
              <w:t>Early Learning units will start at basic noun and article level and will teach pupils how to formulate short phrases. By the time pupils reach Progressive units they will be exposed to much longer text and will be encouraged to formulate their own, more personalised responses based on a much wider bank of vocabulary, linguistic structures and grammatical knowledge. They will be able to create longer pieces of spoken and written language and are encouraged to use a variety of conjunctions, adverbs, adjectives, opinions and justifications.</w:t>
            </w:r>
          </w:p>
          <w:p w14:paraId="6E7F7D1D" w14:textId="464EE53D" w:rsidR="00E153A0" w:rsidRPr="00824514" w:rsidRDefault="00E153A0" w:rsidP="00E153A0">
            <w:pPr>
              <w:rPr>
                <w:sz w:val="15"/>
                <w:szCs w:val="15"/>
              </w:rPr>
            </w:pPr>
          </w:p>
        </w:tc>
      </w:tr>
      <w:tr w:rsidR="00E153A0" w14:paraId="46D7BF92" w14:textId="77777777" w:rsidTr="007F77F8">
        <w:tc>
          <w:tcPr>
            <w:tcW w:w="490" w:type="pct"/>
            <w:shd w:val="clear" w:color="auto" w:fill="E3F6FD"/>
          </w:tcPr>
          <w:p w14:paraId="594C9FE5" w14:textId="77777777" w:rsidR="00E153A0" w:rsidRPr="0060748A" w:rsidRDefault="00E153A0" w:rsidP="00E153A0">
            <w:pPr>
              <w:jc w:val="center"/>
            </w:pPr>
            <w:r w:rsidRPr="0060748A">
              <w:rPr>
                <w:noProof/>
                <w:lang w:eastAsia="en-GB"/>
              </w:rPr>
              <w:drawing>
                <wp:inline distT="0" distB="0" distL="0" distR="0" wp14:anchorId="24BAE5AA" wp14:editId="275A42B2">
                  <wp:extent cx="760678" cy="792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3983" b="7571"/>
                          <a:stretch/>
                        </pic:blipFill>
                        <pic:spPr bwMode="auto">
                          <a:xfrm>
                            <a:off x="0" y="0"/>
                            <a:ext cx="760678" cy="792000"/>
                          </a:xfrm>
                          <a:prstGeom prst="rect">
                            <a:avLst/>
                          </a:prstGeom>
                          <a:noFill/>
                          <a:ln>
                            <a:noFill/>
                          </a:ln>
                          <a:extLst>
                            <a:ext uri="{53640926-AAD7-44D8-BBD7-CCE9431645EC}">
                              <a14:shadowObscured xmlns:a14="http://schemas.microsoft.com/office/drawing/2010/main"/>
                            </a:ext>
                          </a:extLst>
                        </pic:spPr>
                      </pic:pic>
                    </a:graphicData>
                  </a:graphic>
                </wp:inline>
              </w:drawing>
            </w:r>
          </w:p>
          <w:p w14:paraId="271C2A84" w14:textId="15D19078" w:rsidR="00E153A0" w:rsidRPr="006317BC" w:rsidRDefault="00E153A0" w:rsidP="00E153A0">
            <w:pPr>
              <w:jc w:val="center"/>
              <w:rPr>
                <w:b/>
                <w:bCs/>
                <w:color w:val="0A749A"/>
                <w:sz w:val="16"/>
                <w:szCs w:val="16"/>
              </w:rPr>
            </w:pPr>
            <w:r w:rsidRPr="005F742F">
              <w:rPr>
                <w:b/>
                <w:bCs/>
                <w:color w:val="0A749A"/>
                <w:sz w:val="16"/>
                <w:szCs w:val="16"/>
              </w:rPr>
              <w:t>Addressing Social Disadvantage</w:t>
            </w:r>
          </w:p>
        </w:tc>
        <w:tc>
          <w:tcPr>
            <w:tcW w:w="1158" w:type="pct"/>
          </w:tcPr>
          <w:p w14:paraId="7E97D507" w14:textId="1EDD9507" w:rsidR="00E153A0" w:rsidRPr="00824514" w:rsidRDefault="00E153A0" w:rsidP="00E153A0">
            <w:pPr>
              <w:rPr>
                <w:sz w:val="15"/>
                <w:szCs w:val="15"/>
              </w:rPr>
            </w:pPr>
            <w:r w:rsidRPr="00824514">
              <w:rPr>
                <w:sz w:val="15"/>
                <w:szCs w:val="15"/>
              </w:rPr>
              <w:t>Learning a language can add 10-15% to a person’s salary therefore this is particularly important for our disadvantaged pupils. The curriculum is designed to ensure that all pupils keep up with the pace of the programme. Due to the psycholinguistic approach to learning a language, all pupils have the potential to be successful.</w:t>
            </w:r>
          </w:p>
        </w:tc>
        <w:tc>
          <w:tcPr>
            <w:tcW w:w="43" w:type="pct"/>
            <w:vMerge/>
          </w:tcPr>
          <w:p w14:paraId="0604BA17" w14:textId="77777777" w:rsidR="00E153A0" w:rsidRDefault="00E153A0" w:rsidP="00E153A0"/>
        </w:tc>
        <w:tc>
          <w:tcPr>
            <w:tcW w:w="477" w:type="pct"/>
            <w:shd w:val="clear" w:color="auto" w:fill="F9DBE1"/>
          </w:tcPr>
          <w:p w14:paraId="6A1D476E" w14:textId="77777777" w:rsidR="00E153A0" w:rsidRDefault="00E153A0" w:rsidP="00E153A0">
            <w:pPr>
              <w:jc w:val="center"/>
            </w:pPr>
            <w:r>
              <w:rPr>
                <w:noProof/>
                <w:lang w:eastAsia="en-GB"/>
              </w:rPr>
              <w:drawing>
                <wp:inline distT="0" distB="0" distL="0" distR="0" wp14:anchorId="581E9673" wp14:editId="0168CC2E">
                  <wp:extent cx="792480" cy="792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21D46DE6" w14:textId="384079FB" w:rsidR="00E153A0" w:rsidRPr="006317BC" w:rsidRDefault="00E153A0" w:rsidP="00E153A0">
            <w:pPr>
              <w:jc w:val="center"/>
              <w:rPr>
                <w:b/>
                <w:bCs/>
                <w:color w:val="D43C6B"/>
                <w:sz w:val="16"/>
                <w:szCs w:val="16"/>
              </w:rPr>
            </w:pPr>
            <w:r w:rsidRPr="00F94E93">
              <w:rPr>
                <w:b/>
                <w:bCs/>
                <w:color w:val="D43C6B"/>
                <w:sz w:val="16"/>
                <w:szCs w:val="16"/>
              </w:rPr>
              <w:t>Knowing More and Remembering More</w:t>
            </w:r>
          </w:p>
        </w:tc>
        <w:tc>
          <w:tcPr>
            <w:tcW w:w="1171" w:type="pct"/>
          </w:tcPr>
          <w:p w14:paraId="33C60FFE" w14:textId="77777777" w:rsidR="00543E88" w:rsidRPr="00543E88" w:rsidRDefault="00543E88" w:rsidP="00543E88">
            <w:pPr>
              <w:shd w:val="clear" w:color="auto" w:fill="FFFFFF"/>
              <w:textAlignment w:val="baseline"/>
              <w:rPr>
                <w:rFonts w:ascii="Articulate" w:hAnsi="Articulate" w:cs="Arial"/>
                <w:sz w:val="15"/>
                <w:szCs w:val="15"/>
              </w:rPr>
            </w:pPr>
            <w:r w:rsidRPr="00543E88">
              <w:rPr>
                <w:rFonts w:ascii="Articulate" w:hAnsi="Articulate" w:cs="Arial"/>
                <w:sz w:val="15"/>
                <w:szCs w:val="15"/>
              </w:rPr>
              <w:t>Pupils will continuously build on their previous knowledge as they progress in their foreign language learning journey through the primary phase. Previous language will be recycled, revised, recalled and consolidated whenever possible and appropriate.</w:t>
            </w:r>
          </w:p>
          <w:p w14:paraId="6D88C9DF" w14:textId="164D6FC8" w:rsidR="00E153A0" w:rsidRPr="00824514" w:rsidRDefault="00E153A0" w:rsidP="00E153A0">
            <w:pPr>
              <w:rPr>
                <w:sz w:val="15"/>
                <w:szCs w:val="15"/>
              </w:rPr>
            </w:pPr>
          </w:p>
        </w:tc>
        <w:tc>
          <w:tcPr>
            <w:tcW w:w="45" w:type="pct"/>
            <w:vMerge/>
          </w:tcPr>
          <w:p w14:paraId="3EAF8083" w14:textId="77777777" w:rsidR="00E153A0" w:rsidRDefault="00E153A0" w:rsidP="00E153A0"/>
        </w:tc>
        <w:tc>
          <w:tcPr>
            <w:tcW w:w="444" w:type="pct"/>
            <w:shd w:val="clear" w:color="auto" w:fill="E3F3D1"/>
          </w:tcPr>
          <w:p w14:paraId="15FB3F25" w14:textId="77777777" w:rsidR="00E153A0" w:rsidRDefault="00E153A0" w:rsidP="00E153A0">
            <w:pPr>
              <w:jc w:val="center"/>
            </w:pPr>
            <w:r>
              <w:rPr>
                <w:noProof/>
                <w:lang w:eastAsia="en-GB"/>
              </w:rPr>
              <w:drawing>
                <wp:inline distT="0" distB="0" distL="0" distR="0" wp14:anchorId="44A7B585" wp14:editId="68C9C737">
                  <wp:extent cx="792480" cy="786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786765"/>
                          </a:xfrm>
                          <a:prstGeom prst="rect">
                            <a:avLst/>
                          </a:prstGeom>
                          <a:noFill/>
                        </pic:spPr>
                      </pic:pic>
                    </a:graphicData>
                  </a:graphic>
                </wp:inline>
              </w:drawing>
            </w:r>
          </w:p>
          <w:p w14:paraId="33B56E7E" w14:textId="661CADEE" w:rsidR="00E153A0" w:rsidRPr="006317BC" w:rsidRDefault="00E153A0" w:rsidP="00E153A0">
            <w:pPr>
              <w:jc w:val="center"/>
              <w:rPr>
                <w:b/>
                <w:bCs/>
                <w:color w:val="85CA3A"/>
                <w:sz w:val="16"/>
                <w:szCs w:val="16"/>
              </w:rPr>
            </w:pPr>
            <w:r w:rsidRPr="00AB12DE">
              <w:rPr>
                <w:b/>
                <w:bCs/>
                <w:color w:val="85CA3A"/>
                <w:sz w:val="16"/>
                <w:szCs w:val="16"/>
              </w:rPr>
              <w:t>Talking to Pupils</w:t>
            </w:r>
          </w:p>
        </w:tc>
        <w:tc>
          <w:tcPr>
            <w:tcW w:w="1172" w:type="pct"/>
          </w:tcPr>
          <w:p w14:paraId="525CA2A0" w14:textId="152EEB3C" w:rsidR="00E153A0" w:rsidRPr="00824514" w:rsidRDefault="00E153A0" w:rsidP="00E153A0">
            <w:pPr>
              <w:rPr>
                <w:sz w:val="15"/>
                <w:szCs w:val="15"/>
              </w:rPr>
            </w:pPr>
            <w:r>
              <w:rPr>
                <w:sz w:val="15"/>
                <w:szCs w:val="15"/>
              </w:rPr>
              <w:t>Teachers</w:t>
            </w:r>
            <w:r w:rsidRPr="00824514">
              <w:rPr>
                <w:sz w:val="15"/>
                <w:szCs w:val="15"/>
              </w:rPr>
              <w:t xml:space="preserve"> assesses the pupils’ spoken language by talking to them and monitoring their responses during the lessons. Conversation in the target language is encouraged. The MFL curriculum leader talks to pupils in all year groups as part of the monitoring cycle to gauge their attitudes to language learning.</w:t>
            </w:r>
          </w:p>
        </w:tc>
      </w:tr>
      <w:tr w:rsidR="00E153A0" w14:paraId="2A346899" w14:textId="77777777" w:rsidTr="007F77F8">
        <w:trPr>
          <w:trHeight w:val="20"/>
        </w:trPr>
        <w:tc>
          <w:tcPr>
            <w:tcW w:w="490" w:type="pct"/>
            <w:vMerge w:val="restart"/>
            <w:shd w:val="clear" w:color="auto" w:fill="E3F6FD"/>
          </w:tcPr>
          <w:p w14:paraId="3491FFF3" w14:textId="77777777" w:rsidR="00E153A0" w:rsidRDefault="00E153A0" w:rsidP="00E153A0">
            <w:pPr>
              <w:jc w:val="center"/>
            </w:pPr>
            <w:r>
              <w:rPr>
                <w:noProof/>
                <w:lang w:eastAsia="en-GB"/>
              </w:rPr>
              <w:drawing>
                <wp:inline distT="0" distB="0" distL="0" distR="0" wp14:anchorId="664B50BF" wp14:editId="05754EA2">
                  <wp:extent cx="786765"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pic:spPr>
                      </pic:pic>
                    </a:graphicData>
                  </a:graphic>
                </wp:inline>
              </w:drawing>
            </w:r>
          </w:p>
          <w:p w14:paraId="5DDD3002" w14:textId="06090820" w:rsidR="00E153A0" w:rsidRPr="006317BC" w:rsidRDefault="00E153A0" w:rsidP="00E153A0">
            <w:pPr>
              <w:jc w:val="center"/>
              <w:rPr>
                <w:b/>
                <w:bCs/>
                <w:color w:val="0A749A"/>
                <w:sz w:val="16"/>
                <w:szCs w:val="16"/>
              </w:rPr>
            </w:pPr>
            <w:r w:rsidRPr="005F742F">
              <w:rPr>
                <w:b/>
                <w:bCs/>
                <w:color w:val="0A749A"/>
                <w:sz w:val="16"/>
                <w:szCs w:val="16"/>
              </w:rPr>
              <w:t>Local Context</w:t>
            </w:r>
          </w:p>
        </w:tc>
        <w:tc>
          <w:tcPr>
            <w:tcW w:w="1158" w:type="pct"/>
            <w:vMerge w:val="restart"/>
          </w:tcPr>
          <w:p w14:paraId="0987B31E" w14:textId="44CE4C1C" w:rsidR="00E153A0" w:rsidRPr="00824514" w:rsidRDefault="00E153A0" w:rsidP="00E153A0">
            <w:pPr>
              <w:rPr>
                <w:sz w:val="15"/>
                <w:szCs w:val="15"/>
              </w:rPr>
            </w:pPr>
            <w:r w:rsidRPr="00824514">
              <w:rPr>
                <w:sz w:val="15"/>
                <w:szCs w:val="15"/>
              </w:rPr>
              <w:t xml:space="preserve">Sheffield is one of the most culturally diverse cities in England with over 120 languages spoken. Within our school, there are a small number of bilingual pupils and pupils with English as an additional language. For some lower attaining pupils, language development in English is a key focus and the study of </w:t>
            </w:r>
            <w:r>
              <w:rPr>
                <w:sz w:val="15"/>
                <w:szCs w:val="15"/>
              </w:rPr>
              <w:t>French</w:t>
            </w:r>
            <w:r w:rsidRPr="00824514">
              <w:rPr>
                <w:sz w:val="15"/>
                <w:szCs w:val="15"/>
              </w:rPr>
              <w:t xml:space="preserve"> will support their awareness of etymology.</w:t>
            </w:r>
          </w:p>
        </w:tc>
        <w:tc>
          <w:tcPr>
            <w:tcW w:w="43" w:type="pct"/>
            <w:vMerge/>
          </w:tcPr>
          <w:p w14:paraId="54D7BDCC" w14:textId="77777777" w:rsidR="00E153A0" w:rsidRDefault="00E153A0" w:rsidP="00E153A0"/>
        </w:tc>
        <w:tc>
          <w:tcPr>
            <w:tcW w:w="477" w:type="pct"/>
            <w:vMerge w:val="restart"/>
            <w:shd w:val="clear" w:color="auto" w:fill="F9DBE1"/>
          </w:tcPr>
          <w:p w14:paraId="0CDBC194" w14:textId="77777777" w:rsidR="00E153A0" w:rsidRDefault="00E153A0" w:rsidP="00E153A0">
            <w:pPr>
              <w:jc w:val="center"/>
            </w:pPr>
            <w:r>
              <w:rPr>
                <w:noProof/>
                <w:lang w:eastAsia="en-GB"/>
              </w:rPr>
              <w:drawing>
                <wp:inline distT="0" distB="0" distL="0" distR="0" wp14:anchorId="7DE133A4" wp14:editId="24A70782">
                  <wp:extent cx="792480" cy="792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5EF3913" w14:textId="79A25D05" w:rsidR="00E153A0" w:rsidRPr="006317BC" w:rsidRDefault="00E153A0" w:rsidP="00E153A0">
            <w:pPr>
              <w:jc w:val="center"/>
              <w:rPr>
                <w:b/>
                <w:bCs/>
                <w:color w:val="D43C6B"/>
                <w:sz w:val="16"/>
                <w:szCs w:val="16"/>
              </w:rPr>
            </w:pPr>
            <w:r w:rsidRPr="00F94E93">
              <w:rPr>
                <w:b/>
                <w:bCs/>
                <w:color w:val="D43C6B"/>
                <w:sz w:val="16"/>
                <w:szCs w:val="16"/>
              </w:rPr>
              <w:t>Teacher Assessment</w:t>
            </w:r>
          </w:p>
        </w:tc>
        <w:tc>
          <w:tcPr>
            <w:tcW w:w="1171" w:type="pct"/>
            <w:vMerge w:val="restart"/>
          </w:tcPr>
          <w:p w14:paraId="356D6A11" w14:textId="1E65B09B" w:rsidR="00E153A0" w:rsidRPr="00824514" w:rsidRDefault="00E153A0" w:rsidP="00543E88">
            <w:pPr>
              <w:rPr>
                <w:sz w:val="15"/>
                <w:szCs w:val="15"/>
              </w:rPr>
            </w:pPr>
            <w:r w:rsidRPr="00824514">
              <w:rPr>
                <w:sz w:val="15"/>
                <w:szCs w:val="15"/>
              </w:rPr>
              <w:t>Format</w:t>
            </w:r>
            <w:r w:rsidR="0046381A">
              <w:rPr>
                <w:sz w:val="15"/>
                <w:szCs w:val="15"/>
              </w:rPr>
              <w:t xml:space="preserve">ive assessment is a key focus. </w:t>
            </w:r>
            <w:r w:rsidR="00543E88">
              <w:rPr>
                <w:sz w:val="15"/>
                <w:szCs w:val="15"/>
              </w:rPr>
              <w:t xml:space="preserve">The opportunity to assess pupil learning and progression in the key language skills and against the 12 </w:t>
            </w:r>
            <w:proofErr w:type="spellStart"/>
            <w:r w:rsidR="00543E88">
              <w:rPr>
                <w:sz w:val="15"/>
                <w:szCs w:val="15"/>
              </w:rPr>
              <w:t>DfE</w:t>
            </w:r>
            <w:proofErr w:type="spellEnd"/>
            <w:r w:rsidRPr="00824514">
              <w:rPr>
                <w:sz w:val="15"/>
                <w:szCs w:val="15"/>
              </w:rPr>
              <w:t xml:space="preserve"> </w:t>
            </w:r>
            <w:r w:rsidR="00543E88">
              <w:rPr>
                <w:sz w:val="15"/>
                <w:szCs w:val="15"/>
              </w:rPr>
              <w:t xml:space="preserve">Languages Programme of Study for KS2 attainment targets is provided at the end of each 6-week teaching unit. </w:t>
            </w:r>
          </w:p>
        </w:tc>
        <w:tc>
          <w:tcPr>
            <w:tcW w:w="45" w:type="pct"/>
            <w:vMerge/>
          </w:tcPr>
          <w:p w14:paraId="0F74F3C9" w14:textId="77777777" w:rsidR="00E153A0" w:rsidRDefault="00E153A0" w:rsidP="00E153A0"/>
        </w:tc>
        <w:tc>
          <w:tcPr>
            <w:tcW w:w="1616" w:type="pct"/>
            <w:gridSpan w:val="2"/>
            <w:tcBorders>
              <w:bottom w:val="single" w:sz="4" w:space="0" w:color="auto"/>
            </w:tcBorders>
            <w:shd w:val="clear" w:color="auto" w:fill="auto"/>
          </w:tcPr>
          <w:p w14:paraId="059B19AB" w14:textId="07518523" w:rsidR="00E153A0" w:rsidRPr="00966A49" w:rsidRDefault="00E153A0" w:rsidP="00E153A0">
            <w:pPr>
              <w:jc w:val="center"/>
              <w:rPr>
                <w:b/>
                <w:bCs/>
                <w:sz w:val="4"/>
                <w:szCs w:val="4"/>
              </w:rPr>
            </w:pPr>
          </w:p>
        </w:tc>
      </w:tr>
      <w:tr w:rsidR="00E153A0" w14:paraId="62F58351" w14:textId="77777777" w:rsidTr="007F77F8">
        <w:trPr>
          <w:trHeight w:val="192"/>
        </w:trPr>
        <w:tc>
          <w:tcPr>
            <w:tcW w:w="490" w:type="pct"/>
            <w:vMerge/>
            <w:shd w:val="clear" w:color="auto" w:fill="E3F6FD"/>
          </w:tcPr>
          <w:p w14:paraId="6FCFB361" w14:textId="77777777" w:rsidR="00E153A0" w:rsidRDefault="00E153A0" w:rsidP="00E153A0">
            <w:pPr>
              <w:jc w:val="center"/>
              <w:rPr>
                <w:noProof/>
              </w:rPr>
            </w:pPr>
          </w:p>
        </w:tc>
        <w:tc>
          <w:tcPr>
            <w:tcW w:w="1158" w:type="pct"/>
            <w:vMerge/>
          </w:tcPr>
          <w:p w14:paraId="0E217924" w14:textId="77777777" w:rsidR="00E153A0" w:rsidRDefault="00E153A0" w:rsidP="00E153A0">
            <w:pPr>
              <w:rPr>
                <w:sz w:val="16"/>
                <w:szCs w:val="16"/>
              </w:rPr>
            </w:pPr>
          </w:p>
        </w:tc>
        <w:tc>
          <w:tcPr>
            <w:tcW w:w="43" w:type="pct"/>
            <w:vMerge/>
          </w:tcPr>
          <w:p w14:paraId="353118F2" w14:textId="77777777" w:rsidR="00E153A0" w:rsidRDefault="00E153A0" w:rsidP="00E153A0"/>
        </w:tc>
        <w:tc>
          <w:tcPr>
            <w:tcW w:w="477" w:type="pct"/>
            <w:vMerge/>
            <w:shd w:val="clear" w:color="auto" w:fill="F9DBE1"/>
          </w:tcPr>
          <w:p w14:paraId="3796BE9A" w14:textId="77777777" w:rsidR="00E153A0" w:rsidRDefault="00E153A0" w:rsidP="00E153A0">
            <w:pPr>
              <w:jc w:val="center"/>
              <w:rPr>
                <w:noProof/>
              </w:rPr>
            </w:pPr>
          </w:p>
        </w:tc>
        <w:tc>
          <w:tcPr>
            <w:tcW w:w="1171" w:type="pct"/>
            <w:vMerge/>
          </w:tcPr>
          <w:p w14:paraId="2D1AE6C0" w14:textId="77777777" w:rsidR="00E153A0" w:rsidRDefault="00E153A0" w:rsidP="00E153A0">
            <w:pPr>
              <w:rPr>
                <w:sz w:val="16"/>
                <w:szCs w:val="16"/>
              </w:rPr>
            </w:pPr>
          </w:p>
        </w:tc>
        <w:tc>
          <w:tcPr>
            <w:tcW w:w="45" w:type="pct"/>
            <w:vMerge/>
            <w:tcBorders>
              <w:right w:val="single" w:sz="4" w:space="0" w:color="auto"/>
            </w:tcBorders>
          </w:tcPr>
          <w:p w14:paraId="7C130E31" w14:textId="77777777" w:rsidR="00E153A0" w:rsidRDefault="00E153A0" w:rsidP="00E153A0"/>
        </w:tc>
        <w:tc>
          <w:tcPr>
            <w:tcW w:w="1616" w:type="pct"/>
            <w:gridSpan w:val="2"/>
            <w:tcBorders>
              <w:top w:val="single" w:sz="4" w:space="0" w:color="auto"/>
              <w:left w:val="single" w:sz="4" w:space="0" w:color="auto"/>
              <w:right w:val="single" w:sz="4" w:space="0" w:color="auto"/>
            </w:tcBorders>
            <w:shd w:val="clear" w:color="auto" w:fill="0A749A"/>
          </w:tcPr>
          <w:p w14:paraId="021461B8" w14:textId="5D6D4B95" w:rsidR="00E153A0" w:rsidRPr="006317BC" w:rsidRDefault="00E153A0" w:rsidP="00E153A0">
            <w:pPr>
              <w:jc w:val="center"/>
              <w:rPr>
                <w:sz w:val="16"/>
                <w:szCs w:val="16"/>
              </w:rPr>
            </w:pPr>
            <w:r w:rsidRPr="006317BC">
              <w:rPr>
                <w:b/>
                <w:bCs/>
                <w:color w:val="FFFFFF" w:themeColor="background1"/>
                <w:sz w:val="18"/>
                <w:szCs w:val="18"/>
              </w:rPr>
              <w:t>Links / References</w:t>
            </w:r>
          </w:p>
        </w:tc>
      </w:tr>
      <w:tr w:rsidR="00E153A0" w14:paraId="36F2F18D" w14:textId="77777777" w:rsidTr="007F77F8">
        <w:trPr>
          <w:trHeight w:val="502"/>
        </w:trPr>
        <w:tc>
          <w:tcPr>
            <w:tcW w:w="490" w:type="pct"/>
            <w:vMerge/>
            <w:shd w:val="clear" w:color="auto" w:fill="E3F6FD"/>
          </w:tcPr>
          <w:p w14:paraId="391D965A" w14:textId="77777777" w:rsidR="00E153A0" w:rsidRDefault="00E153A0" w:rsidP="00E153A0">
            <w:pPr>
              <w:jc w:val="center"/>
              <w:rPr>
                <w:noProof/>
              </w:rPr>
            </w:pPr>
          </w:p>
        </w:tc>
        <w:tc>
          <w:tcPr>
            <w:tcW w:w="1158" w:type="pct"/>
            <w:vMerge/>
          </w:tcPr>
          <w:p w14:paraId="3F1DD848" w14:textId="77777777" w:rsidR="00E153A0" w:rsidRDefault="00E153A0" w:rsidP="00E153A0">
            <w:pPr>
              <w:rPr>
                <w:sz w:val="16"/>
                <w:szCs w:val="16"/>
              </w:rPr>
            </w:pPr>
          </w:p>
        </w:tc>
        <w:tc>
          <w:tcPr>
            <w:tcW w:w="43" w:type="pct"/>
            <w:vMerge/>
          </w:tcPr>
          <w:p w14:paraId="76FF16F9" w14:textId="77777777" w:rsidR="00E153A0" w:rsidRDefault="00E153A0" w:rsidP="00E153A0"/>
        </w:tc>
        <w:tc>
          <w:tcPr>
            <w:tcW w:w="477" w:type="pct"/>
            <w:vMerge/>
            <w:shd w:val="clear" w:color="auto" w:fill="F9DBE1"/>
          </w:tcPr>
          <w:p w14:paraId="33213FF9" w14:textId="77777777" w:rsidR="00E153A0" w:rsidRDefault="00E153A0" w:rsidP="00E153A0">
            <w:pPr>
              <w:jc w:val="center"/>
              <w:rPr>
                <w:noProof/>
              </w:rPr>
            </w:pPr>
          </w:p>
        </w:tc>
        <w:tc>
          <w:tcPr>
            <w:tcW w:w="1171" w:type="pct"/>
            <w:vMerge/>
          </w:tcPr>
          <w:p w14:paraId="1DA0147E" w14:textId="77777777" w:rsidR="00E153A0" w:rsidRDefault="00E153A0" w:rsidP="00E153A0">
            <w:pPr>
              <w:rPr>
                <w:sz w:val="16"/>
                <w:szCs w:val="16"/>
              </w:rPr>
            </w:pPr>
          </w:p>
        </w:tc>
        <w:tc>
          <w:tcPr>
            <w:tcW w:w="45" w:type="pct"/>
            <w:vMerge/>
            <w:tcBorders>
              <w:right w:val="single" w:sz="4" w:space="0" w:color="auto"/>
            </w:tcBorders>
          </w:tcPr>
          <w:p w14:paraId="213EE1DE" w14:textId="77777777" w:rsidR="00E153A0" w:rsidRDefault="00E153A0" w:rsidP="00E153A0"/>
        </w:tc>
        <w:tc>
          <w:tcPr>
            <w:tcW w:w="1616" w:type="pct"/>
            <w:gridSpan w:val="2"/>
            <w:tcBorders>
              <w:left w:val="single" w:sz="4" w:space="0" w:color="auto"/>
              <w:bottom w:val="single" w:sz="4" w:space="0" w:color="auto"/>
              <w:right w:val="single" w:sz="4" w:space="0" w:color="auto"/>
            </w:tcBorders>
            <w:shd w:val="clear" w:color="auto" w:fill="E3F6FD"/>
          </w:tcPr>
          <w:p w14:paraId="5127CADE" w14:textId="77777777" w:rsidR="00E153A0" w:rsidRDefault="00E153A0" w:rsidP="00E153A0">
            <w:r>
              <w:t xml:space="preserve"> The National Curriculum for MFL</w:t>
            </w:r>
          </w:p>
          <w:p w14:paraId="046BCF0E" w14:textId="4D3AA05C" w:rsidR="00E153A0" w:rsidRDefault="00E153A0" w:rsidP="00E153A0">
            <w:r>
              <w:t>Language Angels</w:t>
            </w:r>
          </w:p>
        </w:tc>
      </w:tr>
    </w:tbl>
    <w:p w14:paraId="62FB8FC9" w14:textId="77777777" w:rsidR="006317BC" w:rsidRPr="0022491B" w:rsidRDefault="006317BC" w:rsidP="006317BC">
      <w:pPr>
        <w:rPr>
          <w:sz w:val="2"/>
          <w:szCs w:val="2"/>
        </w:rPr>
      </w:pPr>
    </w:p>
    <w:sectPr w:rsidR="006317BC" w:rsidRPr="0022491B" w:rsidSect="007F77F8">
      <w:type w:val="continuous"/>
      <w:pgSz w:w="16838" w:h="11906" w:orient="landscape"/>
      <w:pgMar w:top="170" w:right="340" w:bottom="17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4F6"/>
    <w:multiLevelType w:val="hybridMultilevel"/>
    <w:tmpl w:val="DEC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BC"/>
    <w:rsid w:val="000417E1"/>
    <w:rsid w:val="000F32C1"/>
    <w:rsid w:val="001312EA"/>
    <w:rsid w:val="00182D86"/>
    <w:rsid w:val="0019005F"/>
    <w:rsid w:val="001932E4"/>
    <w:rsid w:val="001A0F28"/>
    <w:rsid w:val="001C47E3"/>
    <w:rsid w:val="0021240A"/>
    <w:rsid w:val="0022491B"/>
    <w:rsid w:val="002A0275"/>
    <w:rsid w:val="003458CA"/>
    <w:rsid w:val="003514FA"/>
    <w:rsid w:val="00363E4D"/>
    <w:rsid w:val="0046381A"/>
    <w:rsid w:val="00476033"/>
    <w:rsid w:val="004E6844"/>
    <w:rsid w:val="00530FCD"/>
    <w:rsid w:val="00543E88"/>
    <w:rsid w:val="00550B46"/>
    <w:rsid w:val="00555BA2"/>
    <w:rsid w:val="005A4711"/>
    <w:rsid w:val="0060748A"/>
    <w:rsid w:val="0061504E"/>
    <w:rsid w:val="006317BC"/>
    <w:rsid w:val="00650806"/>
    <w:rsid w:val="00694368"/>
    <w:rsid w:val="006E0058"/>
    <w:rsid w:val="006E016A"/>
    <w:rsid w:val="00701DCA"/>
    <w:rsid w:val="007F77F8"/>
    <w:rsid w:val="00824514"/>
    <w:rsid w:val="008E411D"/>
    <w:rsid w:val="00966A49"/>
    <w:rsid w:val="00985ECF"/>
    <w:rsid w:val="00A124BC"/>
    <w:rsid w:val="00AB6459"/>
    <w:rsid w:val="00AD16E6"/>
    <w:rsid w:val="00B3475E"/>
    <w:rsid w:val="00B530B8"/>
    <w:rsid w:val="00B5360B"/>
    <w:rsid w:val="00B86AA8"/>
    <w:rsid w:val="00C351E6"/>
    <w:rsid w:val="00C83548"/>
    <w:rsid w:val="00CB2D80"/>
    <w:rsid w:val="00D15BA0"/>
    <w:rsid w:val="00D2181B"/>
    <w:rsid w:val="00D43CA0"/>
    <w:rsid w:val="00D452B4"/>
    <w:rsid w:val="00DB6523"/>
    <w:rsid w:val="00E10431"/>
    <w:rsid w:val="00E153A0"/>
    <w:rsid w:val="00E2780D"/>
    <w:rsid w:val="00E67F25"/>
    <w:rsid w:val="00ED1236"/>
    <w:rsid w:val="00F561A7"/>
    <w:rsid w:val="00FE45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6D53"/>
  <w15:chartTrackingRefBased/>
  <w15:docId w15:val="{314B2FE9-4018-584C-8066-F0753F54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7BC"/>
    <w:pPr>
      <w:spacing w:after="0" w:line="240" w:lineRule="auto"/>
    </w:pPr>
  </w:style>
  <w:style w:type="table" w:styleId="TableGrid">
    <w:name w:val="Table Grid"/>
    <w:basedOn w:val="TableNormal"/>
    <w:uiPriority w:val="39"/>
    <w:rsid w:val="0063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7BC"/>
    <w:rPr>
      <w:color w:val="0563C1" w:themeColor="hyperlink"/>
      <w:u w:val="single"/>
    </w:rPr>
  </w:style>
  <w:style w:type="paragraph" w:styleId="BalloonText">
    <w:name w:val="Balloon Text"/>
    <w:basedOn w:val="Normal"/>
    <w:link w:val="BalloonTextChar"/>
    <w:uiPriority w:val="99"/>
    <w:semiHidden/>
    <w:unhideWhenUsed/>
    <w:rsid w:val="00A124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BC"/>
    <w:rPr>
      <w:rFonts w:ascii="Times New Roman" w:hAnsi="Times New Roman" w:cs="Times New Roman"/>
      <w:sz w:val="18"/>
      <w:szCs w:val="18"/>
    </w:rPr>
  </w:style>
  <w:style w:type="paragraph" w:styleId="ListParagraph">
    <w:name w:val="List Paragraph"/>
    <w:basedOn w:val="Normal"/>
    <w:uiPriority w:val="34"/>
    <w:qFormat/>
    <w:rsid w:val="00B530B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Creative</dc:creator>
  <cp:keywords/>
  <dc:description/>
  <cp:lastModifiedBy>Steph Coles</cp:lastModifiedBy>
  <cp:revision>2</cp:revision>
  <dcterms:created xsi:type="dcterms:W3CDTF">2022-06-29T12:49:00Z</dcterms:created>
  <dcterms:modified xsi:type="dcterms:W3CDTF">2022-06-29T12:49:00Z</dcterms:modified>
</cp:coreProperties>
</file>